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ABCB6" w14:textId="77777777" w:rsidR="00225E51" w:rsidRPr="00D33D09" w:rsidRDefault="00225E51" w:rsidP="00225E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D0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6</w:t>
      </w:r>
    </w:p>
    <w:p w14:paraId="0B065D93" w14:textId="77777777" w:rsidR="00225E51" w:rsidRPr="00D33D09" w:rsidRDefault="00225E51" w:rsidP="00225E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D09">
        <w:rPr>
          <w:rFonts w:ascii="Times New Roman" w:hAnsi="Times New Roman" w:cs="Times New Roman"/>
          <w:color w:val="000000" w:themeColor="text1"/>
          <w:sz w:val="24"/>
          <w:szCs w:val="24"/>
        </w:rPr>
        <w:t>к Конкурсной документации</w:t>
      </w:r>
    </w:p>
    <w:p w14:paraId="0E408082" w14:textId="77777777" w:rsidR="00225E51" w:rsidRDefault="00225E51" w:rsidP="00225E51">
      <w:pPr>
        <w:pStyle w:val="a7"/>
        <w:ind w:hanging="11"/>
        <w:jc w:val="right"/>
        <w:rPr>
          <w:rFonts w:ascii="Times New Roman" w:hAnsi="Times New Roman"/>
          <w:sz w:val="24"/>
          <w:szCs w:val="24"/>
        </w:rPr>
      </w:pPr>
    </w:p>
    <w:p w14:paraId="4290D035" w14:textId="77777777" w:rsidR="0063354E" w:rsidRPr="0063354E" w:rsidRDefault="0063354E" w:rsidP="006335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3354E">
        <w:rPr>
          <w:rFonts w:ascii="Times New Roman" w:eastAsia="Calibri" w:hAnsi="Times New Roman" w:cs="Times New Roman"/>
          <w:color w:val="000000"/>
          <w:sz w:val="28"/>
          <w:szCs w:val="28"/>
        </w:rPr>
        <w:t>Критерии конкурса и параметры критериев конкурса</w:t>
      </w:r>
    </w:p>
    <w:p w14:paraId="672E406E" w14:textId="77777777" w:rsidR="0063354E" w:rsidRPr="0063354E" w:rsidRDefault="0063354E" w:rsidP="006335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4012"/>
        <w:gridCol w:w="2835"/>
        <w:gridCol w:w="1843"/>
      </w:tblGrid>
      <w:tr w:rsidR="0063354E" w:rsidRPr="0063354E" w14:paraId="3852B54A" w14:textId="77777777" w:rsidTr="00CE07AA">
        <w:trPr>
          <w:trHeight w:val="481"/>
        </w:trPr>
        <w:tc>
          <w:tcPr>
            <w:tcW w:w="666" w:type="dxa"/>
            <w:vMerge w:val="restart"/>
            <w:vAlign w:val="center"/>
          </w:tcPr>
          <w:p w14:paraId="746A9F9D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№</w:t>
            </w:r>
          </w:p>
          <w:p w14:paraId="397A3A34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п/п</w:t>
            </w:r>
          </w:p>
        </w:tc>
        <w:tc>
          <w:tcPr>
            <w:tcW w:w="4012" w:type="dxa"/>
            <w:vMerge w:val="restart"/>
            <w:vAlign w:val="center"/>
          </w:tcPr>
          <w:p w14:paraId="2117B396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Критерии конкурса</w:t>
            </w:r>
          </w:p>
        </w:tc>
        <w:tc>
          <w:tcPr>
            <w:tcW w:w="4678" w:type="dxa"/>
            <w:gridSpan w:val="2"/>
            <w:vAlign w:val="center"/>
          </w:tcPr>
          <w:p w14:paraId="25513B0A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Параметры критериев конкура</w:t>
            </w:r>
          </w:p>
        </w:tc>
      </w:tr>
      <w:tr w:rsidR="0063354E" w:rsidRPr="0063354E" w14:paraId="623380F9" w14:textId="77777777" w:rsidTr="00CE07AA">
        <w:trPr>
          <w:trHeight w:val="481"/>
        </w:trPr>
        <w:tc>
          <w:tcPr>
            <w:tcW w:w="666" w:type="dxa"/>
            <w:vMerge/>
            <w:vAlign w:val="center"/>
          </w:tcPr>
          <w:p w14:paraId="5801BCBC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4012" w:type="dxa"/>
            <w:vMerge/>
            <w:vAlign w:val="center"/>
          </w:tcPr>
          <w:p w14:paraId="55B264DE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37D47A0E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Начальное (предельное) значение критерия конкурса</w:t>
            </w:r>
          </w:p>
        </w:tc>
        <w:tc>
          <w:tcPr>
            <w:tcW w:w="1843" w:type="dxa"/>
            <w:vAlign w:val="center"/>
          </w:tcPr>
          <w:p w14:paraId="6D5B4A05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Уменьшение, увеличение или соответствие установленного в конкурсном предложении значения критерия относительно начального (предельного) значения критерия конкурса</w:t>
            </w:r>
          </w:p>
        </w:tc>
      </w:tr>
      <w:tr w:rsidR="0063354E" w:rsidRPr="0063354E" w14:paraId="482FE06A" w14:textId="77777777" w:rsidTr="00CE07AA">
        <w:trPr>
          <w:trHeight w:val="361"/>
        </w:trPr>
        <w:tc>
          <w:tcPr>
            <w:tcW w:w="666" w:type="dxa"/>
            <w:vAlign w:val="center"/>
          </w:tcPr>
          <w:p w14:paraId="6CE7C4AB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012" w:type="dxa"/>
            <w:vAlign w:val="center"/>
          </w:tcPr>
          <w:p w14:paraId="1270C9C3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835" w:type="dxa"/>
            <w:vAlign w:val="center"/>
          </w:tcPr>
          <w:p w14:paraId="0BF8F836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14:paraId="6956F633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  <w:lang w:eastAsia="ar-SA"/>
              </w:rPr>
              <w:t>4</w:t>
            </w:r>
          </w:p>
        </w:tc>
      </w:tr>
      <w:tr w:rsidR="0063354E" w:rsidRPr="0063354E" w14:paraId="28EF1A63" w14:textId="77777777" w:rsidTr="00185DB4">
        <w:trPr>
          <w:trHeight w:val="1850"/>
        </w:trPr>
        <w:tc>
          <w:tcPr>
            <w:tcW w:w="666" w:type="dxa"/>
            <w:vAlign w:val="center"/>
          </w:tcPr>
          <w:p w14:paraId="6FC10CD6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4012" w:type="dxa"/>
            <w:vAlign w:val="center"/>
          </w:tcPr>
          <w:p w14:paraId="5C164EC6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3354E">
              <w:rPr>
                <w:rFonts w:ascii="Times New Roman" w:eastAsia="Calibri" w:hAnsi="Times New Roman" w:cs="Times New Roman"/>
                <w:sz w:val="16"/>
                <w:szCs w:val="16"/>
              </w:rPr>
              <w:t>Предельный размер расходов на реконструкцию Объекта концессионного соглашения, которые предполагается осуществить Концессионером, без учета расходов, источником финансирования которых является плата за подключение (технологическое присоединение), тыс. руб.</w:t>
            </w:r>
          </w:p>
          <w:p w14:paraId="5ED8E475" w14:textId="77777777" w:rsidR="0063354E" w:rsidRPr="0063354E" w:rsidRDefault="0063354E" w:rsidP="0063354E">
            <w:pPr>
              <w:suppressLineNumbers/>
              <w:tabs>
                <w:tab w:val="left" w:pos="142"/>
                <w:tab w:val="left" w:pos="993"/>
              </w:tabs>
              <w:snapToGrid w:val="0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63354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*Примечание: Предельный размер расходов на реконструкцию объекта концессионного соглашения устанавливается на весь срок действия концессионного соглашения.</w:t>
            </w:r>
          </w:p>
        </w:tc>
        <w:tc>
          <w:tcPr>
            <w:tcW w:w="2835" w:type="dxa"/>
            <w:vAlign w:val="center"/>
          </w:tcPr>
          <w:p w14:paraId="41C1573D" w14:textId="1251FDD4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 xml:space="preserve">2026 г. – </w:t>
            </w:r>
            <w:r w:rsidR="00185DB4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0</w:t>
            </w: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,00</w:t>
            </w:r>
          </w:p>
          <w:p w14:paraId="313C86DE" w14:textId="45EE010F" w:rsidR="0063354E" w:rsidRPr="0063354E" w:rsidRDefault="00185DB4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2027 г. – 300</w:t>
            </w:r>
            <w:r w:rsidR="0063354E"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,00</w:t>
            </w:r>
          </w:p>
          <w:p w14:paraId="7A0EC5F7" w14:textId="4DAA743D" w:rsidR="0063354E" w:rsidRPr="0063354E" w:rsidRDefault="00185DB4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2028 г. – 3</w:t>
            </w:r>
            <w:r w:rsidR="0063354E"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00,00</w:t>
            </w:r>
          </w:p>
          <w:p w14:paraId="23CD9456" w14:textId="141DE427" w:rsidR="0063354E" w:rsidRPr="0063354E" w:rsidRDefault="00185DB4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2029 г. – 3</w:t>
            </w:r>
            <w:r w:rsidR="0063354E"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00,00</w:t>
            </w:r>
          </w:p>
          <w:p w14:paraId="20C0679C" w14:textId="4D7A517F" w:rsidR="0063354E" w:rsidRDefault="00185DB4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2030 г. – 300</w:t>
            </w:r>
            <w:r w:rsidR="0063354E"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,00</w:t>
            </w:r>
          </w:p>
          <w:p w14:paraId="689551AC" w14:textId="3F4A5BD1" w:rsidR="00185DB4" w:rsidRPr="0063354E" w:rsidRDefault="00185DB4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2031 г. – 0,00</w:t>
            </w:r>
          </w:p>
          <w:p w14:paraId="10538046" w14:textId="50790324" w:rsidR="0063354E" w:rsidRPr="0063354E" w:rsidRDefault="0063354E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 xml:space="preserve">Итого: </w:t>
            </w:r>
            <w:r w:rsidR="00185DB4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1 200</w:t>
            </w: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,00</w:t>
            </w:r>
          </w:p>
        </w:tc>
        <w:tc>
          <w:tcPr>
            <w:tcW w:w="1843" w:type="dxa"/>
            <w:vAlign w:val="center"/>
          </w:tcPr>
          <w:p w14:paraId="6E6CC489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Соответствие,</w:t>
            </w:r>
          </w:p>
          <w:p w14:paraId="5DBCA411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увеличение</w:t>
            </w:r>
          </w:p>
        </w:tc>
      </w:tr>
      <w:tr w:rsidR="0063354E" w:rsidRPr="0063354E" w14:paraId="3E0F820E" w14:textId="77777777" w:rsidTr="00185DB4">
        <w:trPr>
          <w:trHeight w:val="1342"/>
        </w:trPr>
        <w:tc>
          <w:tcPr>
            <w:tcW w:w="666" w:type="dxa"/>
            <w:vAlign w:val="center"/>
          </w:tcPr>
          <w:p w14:paraId="77D40541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2.</w:t>
            </w:r>
          </w:p>
        </w:tc>
        <w:tc>
          <w:tcPr>
            <w:tcW w:w="4012" w:type="dxa"/>
            <w:vAlign w:val="center"/>
          </w:tcPr>
          <w:p w14:paraId="1BDA7EC9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Объем финансового участия Концедента в исполнении концессионного соглашения в форме финансового обеспечения на этапе эксплуатации объекта концессионного соглашения расходов Концессионера на реконструкцию объекта концессионного соглашения, использование (эксплуатацию) объекта концессионного соглашения, тыс. руб.</w:t>
            </w:r>
          </w:p>
        </w:tc>
        <w:tc>
          <w:tcPr>
            <w:tcW w:w="2835" w:type="dxa"/>
            <w:vAlign w:val="center"/>
          </w:tcPr>
          <w:p w14:paraId="07EACB8D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5D67">
              <w:rPr>
                <w:rFonts w:ascii="Times New Roman" w:hAnsi="Times New Roman"/>
                <w:sz w:val="16"/>
                <w:szCs w:val="16"/>
              </w:rPr>
              <w:t>2026 г. – 0,00</w:t>
            </w:r>
          </w:p>
          <w:p w14:paraId="558F9785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5D67">
              <w:rPr>
                <w:rFonts w:ascii="Times New Roman" w:hAnsi="Times New Roman"/>
                <w:sz w:val="16"/>
                <w:szCs w:val="16"/>
              </w:rPr>
              <w:t>2027 г. – 735,00</w:t>
            </w:r>
          </w:p>
          <w:p w14:paraId="00B4A51C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5D67">
              <w:rPr>
                <w:rFonts w:ascii="Times New Roman" w:hAnsi="Times New Roman"/>
                <w:sz w:val="16"/>
                <w:szCs w:val="16"/>
              </w:rPr>
              <w:t>2028 г. – 735,00</w:t>
            </w:r>
          </w:p>
          <w:p w14:paraId="2D2EC3D8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5D67">
              <w:rPr>
                <w:rFonts w:ascii="Times New Roman" w:hAnsi="Times New Roman"/>
                <w:sz w:val="16"/>
                <w:szCs w:val="16"/>
              </w:rPr>
              <w:t>2029 г. – 735,00</w:t>
            </w:r>
          </w:p>
          <w:p w14:paraId="761BF06F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5D67">
              <w:rPr>
                <w:rFonts w:ascii="Times New Roman" w:hAnsi="Times New Roman"/>
                <w:sz w:val="16"/>
                <w:szCs w:val="16"/>
              </w:rPr>
              <w:t>2030 г. – 735,00</w:t>
            </w:r>
          </w:p>
          <w:p w14:paraId="28E3DC28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5D67">
              <w:rPr>
                <w:rFonts w:ascii="Times New Roman" w:hAnsi="Times New Roman"/>
                <w:sz w:val="16"/>
                <w:szCs w:val="16"/>
              </w:rPr>
              <w:t>2031 г. – 750,00</w:t>
            </w:r>
          </w:p>
          <w:p w14:paraId="1BD76C83" w14:textId="4881B622" w:rsidR="0063354E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45D67">
              <w:rPr>
                <w:rFonts w:ascii="Times New Roman" w:hAnsi="Times New Roman"/>
                <w:sz w:val="16"/>
                <w:szCs w:val="16"/>
              </w:rPr>
              <w:t>Итого: 3 690,00</w:t>
            </w:r>
          </w:p>
        </w:tc>
        <w:tc>
          <w:tcPr>
            <w:tcW w:w="1843" w:type="dxa"/>
            <w:vAlign w:val="center"/>
          </w:tcPr>
          <w:p w14:paraId="326A9629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3354E">
              <w:rPr>
                <w:rFonts w:ascii="Times New Roman" w:eastAsia="Calibri" w:hAnsi="Times New Roman" w:cs="Times New Roman"/>
                <w:sz w:val="16"/>
                <w:szCs w:val="16"/>
              </w:rPr>
              <w:t>Соответствие, уменьшение</w:t>
            </w:r>
          </w:p>
        </w:tc>
      </w:tr>
      <w:tr w:rsidR="0063354E" w:rsidRPr="0063354E" w14:paraId="50DFA6B8" w14:textId="77777777" w:rsidTr="00CE07AA">
        <w:trPr>
          <w:trHeight w:val="255"/>
        </w:trPr>
        <w:tc>
          <w:tcPr>
            <w:tcW w:w="9356" w:type="dxa"/>
            <w:gridSpan w:val="4"/>
            <w:vAlign w:val="center"/>
          </w:tcPr>
          <w:p w14:paraId="73FD20C9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Долгосрочные параметры регулирования деятельности Концессионера</w:t>
            </w:r>
          </w:p>
        </w:tc>
      </w:tr>
      <w:tr w:rsidR="0063354E" w:rsidRPr="0063354E" w14:paraId="6813E26D" w14:textId="77777777" w:rsidTr="00CE07AA">
        <w:trPr>
          <w:trHeight w:val="798"/>
        </w:trPr>
        <w:tc>
          <w:tcPr>
            <w:tcW w:w="666" w:type="dxa"/>
            <w:vAlign w:val="center"/>
          </w:tcPr>
          <w:p w14:paraId="2F0BC9AB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3.</w:t>
            </w:r>
          </w:p>
        </w:tc>
        <w:tc>
          <w:tcPr>
            <w:tcW w:w="4012" w:type="dxa"/>
            <w:vAlign w:val="center"/>
          </w:tcPr>
          <w:p w14:paraId="72448361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3354E">
              <w:rPr>
                <w:rFonts w:ascii="Times New Roman" w:eastAsia="Calibri" w:hAnsi="Times New Roman" w:cs="Times New Roman"/>
                <w:sz w:val="16"/>
                <w:szCs w:val="16"/>
              </w:rPr>
              <w:t>Базовый уровень операционных расходов, тыс. руб.</w:t>
            </w:r>
          </w:p>
          <w:p w14:paraId="49710D69" w14:textId="77777777" w:rsidR="0063354E" w:rsidRPr="0063354E" w:rsidRDefault="0063354E" w:rsidP="0063354E">
            <w:pPr>
              <w:suppressLineNumbers/>
              <w:tabs>
                <w:tab w:val="left" w:pos="142"/>
                <w:tab w:val="left" w:pos="993"/>
              </w:tabs>
              <w:snapToGrid w:val="0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63354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**Примечание: Базовый уровень операционных расходов устанавливается на первый год действия концессионного соглашения (расчет базового уровня операционных расходов в последующие годы действия концессионного соглашения осуществляется в соответствии с законодательством Российской Федерации в сфере государственного регулирования цен (тарифов).</w:t>
            </w:r>
          </w:p>
        </w:tc>
        <w:tc>
          <w:tcPr>
            <w:tcW w:w="2835" w:type="dxa"/>
            <w:vAlign w:val="center"/>
          </w:tcPr>
          <w:p w14:paraId="111C41A6" w14:textId="296B987C" w:rsidR="0063354E" w:rsidRPr="0063354E" w:rsidRDefault="00185DB4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u w:val="single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3989,59</w:t>
            </w:r>
          </w:p>
        </w:tc>
        <w:tc>
          <w:tcPr>
            <w:tcW w:w="1843" w:type="dxa"/>
            <w:vAlign w:val="center"/>
          </w:tcPr>
          <w:p w14:paraId="040F423E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Уменьшение,</w:t>
            </w:r>
          </w:p>
          <w:p w14:paraId="586CFC32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увеличение или соответствие</w:t>
            </w:r>
          </w:p>
        </w:tc>
      </w:tr>
      <w:tr w:rsidR="0063354E" w:rsidRPr="0063354E" w14:paraId="4E9A751E" w14:textId="77777777" w:rsidTr="00CE07AA">
        <w:trPr>
          <w:trHeight w:val="798"/>
        </w:trPr>
        <w:tc>
          <w:tcPr>
            <w:tcW w:w="666" w:type="dxa"/>
            <w:vAlign w:val="center"/>
          </w:tcPr>
          <w:p w14:paraId="5DE26EC0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4.</w:t>
            </w:r>
          </w:p>
        </w:tc>
        <w:tc>
          <w:tcPr>
            <w:tcW w:w="4012" w:type="dxa"/>
            <w:vAlign w:val="center"/>
          </w:tcPr>
          <w:p w14:paraId="52BF9EF4" w14:textId="77777777" w:rsidR="0063354E" w:rsidRPr="0063354E" w:rsidRDefault="0063354E" w:rsidP="0063354E">
            <w:pPr>
              <w:suppressLineNumbers/>
              <w:tabs>
                <w:tab w:val="left" w:pos="142"/>
                <w:tab w:val="left" w:pos="993"/>
              </w:tabs>
              <w:snapToGrid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Нормативный уровень прибыли, %</w:t>
            </w:r>
          </w:p>
        </w:tc>
        <w:tc>
          <w:tcPr>
            <w:tcW w:w="2835" w:type="dxa"/>
            <w:vAlign w:val="center"/>
          </w:tcPr>
          <w:p w14:paraId="17FA628E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2026 г. – 0,0000</w:t>
            </w:r>
          </w:p>
          <w:p w14:paraId="7BA3A5B1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2027 г. – 3,8163</w:t>
            </w:r>
          </w:p>
          <w:p w14:paraId="50187BC6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2028 г. – 3,6620</w:t>
            </w:r>
          </w:p>
          <w:p w14:paraId="56513A2A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2029 г. – 3,5137</w:t>
            </w:r>
          </w:p>
          <w:p w14:paraId="053131EE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2030 г. – 3,3709</w:t>
            </w:r>
          </w:p>
          <w:p w14:paraId="0825011B" w14:textId="4B5534AD" w:rsidR="0063354E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2031 г. – 0,0000</w:t>
            </w:r>
          </w:p>
        </w:tc>
        <w:tc>
          <w:tcPr>
            <w:tcW w:w="1843" w:type="dxa"/>
            <w:vAlign w:val="center"/>
          </w:tcPr>
          <w:p w14:paraId="0EA8274D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Соответствие,</w:t>
            </w:r>
          </w:p>
          <w:p w14:paraId="63F87B2E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уменьшение, увеличение</w:t>
            </w:r>
          </w:p>
        </w:tc>
      </w:tr>
      <w:tr w:rsidR="0063354E" w:rsidRPr="0063354E" w14:paraId="0EF0708B" w14:textId="77777777" w:rsidTr="00CE07AA">
        <w:trPr>
          <w:trHeight w:val="317"/>
        </w:trPr>
        <w:tc>
          <w:tcPr>
            <w:tcW w:w="9356" w:type="dxa"/>
            <w:gridSpan w:val="4"/>
            <w:vAlign w:val="center"/>
          </w:tcPr>
          <w:p w14:paraId="168BDED6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  <w:lang w:eastAsia="ar-SA"/>
              </w:rPr>
              <w:t>Показатели энергосбережения и энергетической эффективности:</w:t>
            </w:r>
          </w:p>
        </w:tc>
      </w:tr>
      <w:tr w:rsidR="00185DB4" w:rsidRPr="0063354E" w14:paraId="31C98648" w14:textId="77777777" w:rsidTr="00CE07AA">
        <w:trPr>
          <w:trHeight w:val="798"/>
        </w:trPr>
        <w:tc>
          <w:tcPr>
            <w:tcW w:w="666" w:type="dxa"/>
            <w:vAlign w:val="center"/>
          </w:tcPr>
          <w:p w14:paraId="391A2BD6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5.</w:t>
            </w:r>
          </w:p>
        </w:tc>
        <w:tc>
          <w:tcPr>
            <w:tcW w:w="4012" w:type="dxa"/>
            <w:vAlign w:val="center"/>
          </w:tcPr>
          <w:p w14:paraId="3C107215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Уровень потерь воды, %</w:t>
            </w:r>
          </w:p>
        </w:tc>
        <w:tc>
          <w:tcPr>
            <w:tcW w:w="2835" w:type="dxa"/>
            <w:vAlign w:val="center"/>
          </w:tcPr>
          <w:p w14:paraId="7D0350B5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2026 г. – 10,00</w:t>
            </w:r>
          </w:p>
          <w:p w14:paraId="033C2878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2027 г. – 10,00</w:t>
            </w:r>
          </w:p>
          <w:p w14:paraId="35E928AF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2028 г. – 10,00</w:t>
            </w:r>
          </w:p>
          <w:p w14:paraId="4CCA980B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2029 г. – 10,00</w:t>
            </w:r>
          </w:p>
          <w:p w14:paraId="1337C001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2030 г. – 10,00</w:t>
            </w:r>
          </w:p>
          <w:p w14:paraId="2A18368B" w14:textId="5CCDB051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2031 г. – 10,00</w:t>
            </w:r>
          </w:p>
        </w:tc>
        <w:tc>
          <w:tcPr>
            <w:tcW w:w="1843" w:type="dxa"/>
            <w:vAlign w:val="center"/>
          </w:tcPr>
          <w:p w14:paraId="7DF12E5C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Соответствие,</w:t>
            </w:r>
          </w:p>
          <w:p w14:paraId="288C84A5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уменьшение</w:t>
            </w:r>
          </w:p>
        </w:tc>
      </w:tr>
      <w:tr w:rsidR="00185DB4" w:rsidRPr="0063354E" w14:paraId="282D8E7C" w14:textId="77777777" w:rsidTr="00CE07AA">
        <w:trPr>
          <w:trHeight w:val="798"/>
        </w:trPr>
        <w:tc>
          <w:tcPr>
            <w:tcW w:w="666" w:type="dxa"/>
            <w:vAlign w:val="center"/>
          </w:tcPr>
          <w:p w14:paraId="1B3157EB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6.</w:t>
            </w:r>
          </w:p>
        </w:tc>
        <w:tc>
          <w:tcPr>
            <w:tcW w:w="4012" w:type="dxa"/>
            <w:vAlign w:val="center"/>
          </w:tcPr>
          <w:p w14:paraId="4F068B17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 xml:space="preserve">Удельный расход электрической энергии, </w:t>
            </w:r>
            <w:r w:rsidRPr="0063354E">
              <w:rPr>
                <w:rFonts w:ascii="Times New Roman" w:eastAsia="Calibri" w:hAnsi="Times New Roman" w:cs="Times New Roman"/>
                <w:color w:val="000000"/>
                <w:spacing w:val="2"/>
                <w:sz w:val="16"/>
                <w:szCs w:val="16"/>
              </w:rPr>
              <w:t>кВтч/куб.м.</w:t>
            </w:r>
          </w:p>
        </w:tc>
        <w:tc>
          <w:tcPr>
            <w:tcW w:w="2835" w:type="dxa"/>
            <w:vAlign w:val="center"/>
          </w:tcPr>
          <w:p w14:paraId="32C328E2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2026 г. – 2,127</w:t>
            </w:r>
          </w:p>
          <w:p w14:paraId="040431A2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2027 г. – 2,127</w:t>
            </w:r>
          </w:p>
          <w:p w14:paraId="2FF0CAED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2028 г. – 2,127</w:t>
            </w:r>
          </w:p>
          <w:p w14:paraId="43A5ACFB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2029 г. – 2,127</w:t>
            </w:r>
          </w:p>
          <w:p w14:paraId="45E9EC94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2030 г. – 2,127</w:t>
            </w:r>
          </w:p>
          <w:p w14:paraId="2F2B4618" w14:textId="3A25C9F9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2031 г. – 2,127</w:t>
            </w:r>
          </w:p>
        </w:tc>
        <w:tc>
          <w:tcPr>
            <w:tcW w:w="1843" w:type="dxa"/>
            <w:vAlign w:val="center"/>
          </w:tcPr>
          <w:p w14:paraId="2A2CC908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Соответствие,</w:t>
            </w:r>
          </w:p>
          <w:p w14:paraId="1329083C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уменьшение</w:t>
            </w:r>
          </w:p>
        </w:tc>
      </w:tr>
      <w:tr w:rsidR="0063354E" w:rsidRPr="0063354E" w14:paraId="3D690294" w14:textId="77777777" w:rsidTr="00CE07AA">
        <w:trPr>
          <w:trHeight w:val="575"/>
        </w:trPr>
        <w:tc>
          <w:tcPr>
            <w:tcW w:w="9356" w:type="dxa"/>
            <w:gridSpan w:val="4"/>
            <w:vAlign w:val="center"/>
          </w:tcPr>
          <w:p w14:paraId="76BFF6B9" w14:textId="77777777" w:rsidR="0063354E" w:rsidRPr="0063354E" w:rsidRDefault="0063354E" w:rsidP="00633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Плановые значения показателей деятельности Концессионера:</w:t>
            </w:r>
          </w:p>
        </w:tc>
      </w:tr>
      <w:tr w:rsidR="00185DB4" w:rsidRPr="0063354E" w14:paraId="64CE8C4D" w14:textId="77777777" w:rsidTr="00CE07AA">
        <w:trPr>
          <w:trHeight w:val="798"/>
        </w:trPr>
        <w:tc>
          <w:tcPr>
            <w:tcW w:w="666" w:type="dxa"/>
            <w:vAlign w:val="center"/>
          </w:tcPr>
          <w:p w14:paraId="0094CCD9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lastRenderedPageBreak/>
              <w:t>7.</w:t>
            </w:r>
          </w:p>
        </w:tc>
        <w:tc>
          <w:tcPr>
            <w:tcW w:w="4012" w:type="dxa"/>
            <w:vAlign w:val="center"/>
          </w:tcPr>
          <w:p w14:paraId="67835594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color w:val="000000"/>
                <w:spacing w:val="2"/>
                <w:sz w:val="16"/>
                <w:szCs w:val="16"/>
              </w:rPr>
              <w:t xml:space="preserve">Количество перерывов в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год, </w:t>
            </w:r>
            <w:r w:rsidRPr="0063354E">
              <w:rPr>
                <w:rFonts w:ascii="Times New Roman" w:eastAsia="Calibri" w:hAnsi="Times New Roman" w:cs="Times New Roman"/>
                <w:sz w:val="16"/>
                <w:szCs w:val="16"/>
              </w:rPr>
              <w:t>ед./км.</w:t>
            </w:r>
          </w:p>
        </w:tc>
        <w:tc>
          <w:tcPr>
            <w:tcW w:w="2835" w:type="dxa"/>
            <w:vAlign w:val="center"/>
          </w:tcPr>
          <w:p w14:paraId="69A234DF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2026 г. – 1</w:t>
            </w:r>
          </w:p>
          <w:p w14:paraId="0ED33BE3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2027 г. – 1</w:t>
            </w:r>
          </w:p>
          <w:p w14:paraId="58AD2404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2028 г. – 1</w:t>
            </w:r>
          </w:p>
          <w:p w14:paraId="054BA245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2029 г. – 1</w:t>
            </w:r>
          </w:p>
          <w:p w14:paraId="65B8DACD" w14:textId="77777777" w:rsidR="00185DB4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2030 г. – 1</w:t>
            </w:r>
          </w:p>
          <w:p w14:paraId="47F36693" w14:textId="75878044" w:rsidR="006F4BA9" w:rsidRPr="0063354E" w:rsidRDefault="006F4BA9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2031 г. – 1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14:paraId="5FB2EE0A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Соответствие,</w:t>
            </w:r>
          </w:p>
          <w:p w14:paraId="6E62F143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уменьшение</w:t>
            </w:r>
          </w:p>
        </w:tc>
      </w:tr>
      <w:tr w:rsidR="00185DB4" w:rsidRPr="0063354E" w14:paraId="5926E0C5" w14:textId="77777777" w:rsidTr="00CE07AA">
        <w:trPr>
          <w:trHeight w:val="798"/>
        </w:trPr>
        <w:tc>
          <w:tcPr>
            <w:tcW w:w="666" w:type="dxa"/>
            <w:vAlign w:val="center"/>
          </w:tcPr>
          <w:p w14:paraId="62E954A4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8.</w:t>
            </w:r>
          </w:p>
        </w:tc>
        <w:tc>
          <w:tcPr>
            <w:tcW w:w="4012" w:type="dxa"/>
            <w:vAlign w:val="center"/>
          </w:tcPr>
          <w:p w14:paraId="2C60FC49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2"/>
                <w:sz w:val="16"/>
                <w:szCs w:val="16"/>
              </w:rPr>
            </w:pPr>
            <w:r w:rsidRPr="0063354E">
              <w:rPr>
                <w:rFonts w:ascii="Times New Roman" w:eastAsia="Calibri" w:hAnsi="Times New Roman" w:cs="Times New Roman"/>
                <w:color w:val="000000"/>
                <w:spacing w:val="2"/>
                <w:sz w:val="16"/>
                <w:szCs w:val="16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сеть, %</w:t>
            </w:r>
          </w:p>
        </w:tc>
        <w:tc>
          <w:tcPr>
            <w:tcW w:w="2835" w:type="dxa"/>
            <w:vAlign w:val="center"/>
          </w:tcPr>
          <w:p w14:paraId="1C7B4110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2026 г. – 10,00</w:t>
            </w:r>
          </w:p>
          <w:p w14:paraId="3F7BCCC4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2027 г. – 10,00</w:t>
            </w:r>
          </w:p>
          <w:p w14:paraId="0B6B5FC3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2028 г. – 10,00</w:t>
            </w:r>
          </w:p>
          <w:p w14:paraId="3145662D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2029 г. – 10,00</w:t>
            </w:r>
          </w:p>
          <w:p w14:paraId="4E6D97E0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2030 г. – 10,00</w:t>
            </w:r>
          </w:p>
          <w:p w14:paraId="680ECE5E" w14:textId="5D6849CF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2031 г. – 10,00</w:t>
            </w:r>
          </w:p>
        </w:tc>
        <w:tc>
          <w:tcPr>
            <w:tcW w:w="1843" w:type="dxa"/>
            <w:vAlign w:val="center"/>
          </w:tcPr>
          <w:p w14:paraId="1B0FCBFC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Соответствие,</w:t>
            </w:r>
          </w:p>
          <w:p w14:paraId="4811423C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уменьшение</w:t>
            </w:r>
          </w:p>
        </w:tc>
      </w:tr>
      <w:tr w:rsidR="00185DB4" w:rsidRPr="0063354E" w14:paraId="7B3F7DD6" w14:textId="77777777" w:rsidTr="00185DB4">
        <w:trPr>
          <w:trHeight w:val="1153"/>
        </w:trPr>
        <w:tc>
          <w:tcPr>
            <w:tcW w:w="666" w:type="dxa"/>
            <w:vAlign w:val="center"/>
          </w:tcPr>
          <w:p w14:paraId="4389D1C3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9.</w:t>
            </w:r>
          </w:p>
        </w:tc>
        <w:tc>
          <w:tcPr>
            <w:tcW w:w="4012" w:type="dxa"/>
            <w:vAlign w:val="center"/>
          </w:tcPr>
          <w:p w14:paraId="19410AC5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2"/>
                <w:sz w:val="16"/>
                <w:szCs w:val="16"/>
              </w:rPr>
            </w:pPr>
            <w:r w:rsidRPr="0063354E">
              <w:rPr>
                <w:rFonts w:ascii="Times New Roman" w:eastAsia="Calibri" w:hAnsi="Times New Roman" w:cs="Times New Roman"/>
                <w:color w:val="000000"/>
                <w:spacing w:val="2"/>
                <w:sz w:val="16"/>
                <w:szCs w:val="16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сеть, кВт.ч/куб.м.</w:t>
            </w:r>
          </w:p>
        </w:tc>
        <w:tc>
          <w:tcPr>
            <w:tcW w:w="2835" w:type="dxa"/>
            <w:vAlign w:val="center"/>
          </w:tcPr>
          <w:p w14:paraId="4BC723CF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2026 г. – 2,127</w:t>
            </w:r>
          </w:p>
          <w:p w14:paraId="31B59C69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2027 г. – 2,127</w:t>
            </w:r>
          </w:p>
          <w:p w14:paraId="1F3E2450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2028 г. – 2,127</w:t>
            </w:r>
          </w:p>
          <w:p w14:paraId="2E03E56F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2029 г. – 2,127</w:t>
            </w:r>
          </w:p>
          <w:p w14:paraId="66859B07" w14:textId="77777777" w:rsidR="00185DB4" w:rsidRPr="00E45D67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2030 г. – 2,127</w:t>
            </w:r>
          </w:p>
          <w:p w14:paraId="39F58923" w14:textId="2E99553A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E45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2031 г. – 2,127</w:t>
            </w:r>
          </w:p>
        </w:tc>
        <w:tc>
          <w:tcPr>
            <w:tcW w:w="1843" w:type="dxa"/>
            <w:vAlign w:val="center"/>
          </w:tcPr>
          <w:p w14:paraId="1B9AC74D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Соответствие,</w:t>
            </w:r>
          </w:p>
          <w:p w14:paraId="1BDCA8AC" w14:textId="77777777" w:rsidR="00185DB4" w:rsidRPr="0063354E" w:rsidRDefault="00185DB4" w:rsidP="00185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63354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ar-SA"/>
              </w:rPr>
              <w:t>уменьшение</w:t>
            </w:r>
          </w:p>
        </w:tc>
      </w:tr>
    </w:tbl>
    <w:p w14:paraId="1F2C8392" w14:textId="77777777" w:rsidR="00185DB4" w:rsidRPr="00185DB4" w:rsidRDefault="00185DB4" w:rsidP="00185DB4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5DFA8530" w14:textId="7773590F" w:rsidR="0063354E" w:rsidRPr="00D33D09" w:rsidRDefault="0063354E" w:rsidP="00185DB4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3354E">
        <w:rPr>
          <w:rFonts w:ascii="Times New Roman" w:hAnsi="Times New Roman" w:cs="Times New Roman"/>
          <w:i/>
          <w:sz w:val="20"/>
          <w:szCs w:val="20"/>
        </w:rPr>
        <w:t>***Примечание: критерии конкурса, предусмотренные п. 1 и п. 3, устанавливаются в ценах первого года срока действия концессионного соглашения.</w:t>
      </w:r>
    </w:p>
    <w:sectPr w:rsidR="0063354E" w:rsidRPr="00D33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15B"/>
    <w:rsid w:val="000275C4"/>
    <w:rsid w:val="00125DEB"/>
    <w:rsid w:val="001334BD"/>
    <w:rsid w:val="0014126B"/>
    <w:rsid w:val="00185DB4"/>
    <w:rsid w:val="00225E51"/>
    <w:rsid w:val="0063354E"/>
    <w:rsid w:val="006F4BA9"/>
    <w:rsid w:val="00846364"/>
    <w:rsid w:val="008C115B"/>
    <w:rsid w:val="0090373E"/>
    <w:rsid w:val="00916648"/>
    <w:rsid w:val="00BD1B8B"/>
    <w:rsid w:val="00C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4FB1D"/>
  <w15:chartTrackingRefBased/>
  <w15:docId w15:val="{2D9D881B-7898-4992-91E1-206DFC68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E51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1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1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1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1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1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1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1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1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1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1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1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1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15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15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15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15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15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15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1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C11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1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C11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C115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C115B"/>
    <w:rPr>
      <w:i/>
      <w:iCs/>
      <w:color w:val="404040" w:themeColor="text1" w:themeTint="BF"/>
    </w:rPr>
  </w:style>
  <w:style w:type="paragraph" w:styleId="a7">
    <w:name w:val="List Paragraph"/>
    <w:aliases w:val="Нумерованый список,SL_Абзац списка"/>
    <w:basedOn w:val="a"/>
    <w:uiPriority w:val="34"/>
    <w:qFormat/>
    <w:rsid w:val="008C115B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8C115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C11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C115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C11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528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Варя</dc:creator>
  <cp:keywords/>
  <dc:description/>
  <cp:lastModifiedBy>ООО ЮКБиС</cp:lastModifiedBy>
  <cp:revision>10</cp:revision>
  <dcterms:created xsi:type="dcterms:W3CDTF">2026-06-24T21:44:00Z</dcterms:created>
  <dcterms:modified xsi:type="dcterms:W3CDTF">2026-07-07T11:31:00Z</dcterms:modified>
</cp:coreProperties>
</file>